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74" w:rsidRPr="00DE6CF5" w:rsidRDefault="00D14B74" w:rsidP="00D14B7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540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D14B74" w:rsidRPr="00DE6CF5" w:rsidRDefault="00D14B74" w:rsidP="00D14B74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D14B74" w:rsidRPr="00D41B42" w:rsidRDefault="00D14B74" w:rsidP="00D14B74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5627D6" w:rsidRPr="005627D6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D14B74" w:rsidRDefault="00D14B74" w:rsidP="00D14B74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</w:rPr>
        <w:t>Eco Rent</w:t>
      </w:r>
      <w:r w:rsidRPr="00DE6CF5">
        <w:rPr>
          <w:b/>
          <w:szCs w:val="20"/>
        </w:rPr>
        <w:br/>
      </w:r>
      <w:r w:rsidRPr="00DE6CF5">
        <w:rPr>
          <w:szCs w:val="20"/>
        </w:rPr>
        <w:tab/>
        <w:t xml:space="preserve">M. </w:t>
      </w:r>
      <w:r>
        <w:rPr>
          <w:szCs w:val="20"/>
        </w:rPr>
        <w:t>Pisanu</w:t>
      </w:r>
      <w:r>
        <w:rPr>
          <w:szCs w:val="20"/>
        </w:rPr>
        <w:br/>
      </w:r>
      <w:r>
        <w:rPr>
          <w:szCs w:val="20"/>
        </w:rPr>
        <w:tab/>
        <w:t>13, Quai Pasteur</w:t>
      </w:r>
      <w:r w:rsidRPr="00DE6CF5">
        <w:rPr>
          <w:szCs w:val="20"/>
        </w:rPr>
        <w:br/>
      </w:r>
      <w:r w:rsidRPr="00DE6CF5">
        <w:rPr>
          <w:szCs w:val="20"/>
        </w:rPr>
        <w:tab/>
      </w:r>
      <w:r>
        <w:rPr>
          <w:szCs w:val="20"/>
        </w:rPr>
        <w:t>38200 Vienne</w:t>
      </w:r>
    </w:p>
    <w:p w:rsidR="00D14B74" w:rsidRDefault="00305005" w:rsidP="00D14B74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>
        <w:rPr>
          <w:szCs w:val="20"/>
        </w:rPr>
        <w:br/>
      </w:r>
      <w:r w:rsidR="00D14B74">
        <w:rPr>
          <w:szCs w:val="20"/>
        </w:rPr>
        <w:t>Réf. devis : AL2016-7</w:t>
      </w:r>
      <w:r w:rsidR="009E397A">
        <w:rPr>
          <w:szCs w:val="20"/>
        </w:rPr>
        <w:t>2</w:t>
      </w:r>
      <w:r>
        <w:rPr>
          <w:szCs w:val="20"/>
        </w:rPr>
        <w:br/>
        <w:t>du 02 mai 2016</w:t>
      </w:r>
    </w:p>
    <w:p w:rsidR="00305005" w:rsidRDefault="00305005" w:rsidP="00D14B74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</w:p>
    <w:p w:rsidR="009D7523" w:rsidRDefault="00691665" w:rsidP="00D14B74">
      <w:pPr>
        <w:tabs>
          <w:tab w:val="left" w:pos="4678"/>
        </w:tabs>
        <w:spacing w:line="240" w:lineRule="auto"/>
        <w:jc w:val="center"/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</w:pP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Devis </w:t>
      </w:r>
      <w:r w:rsidR="006C44E7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pour l</w:t>
      </w:r>
      <w:r w:rsidR="00D14B74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e référencement </w:t>
      </w: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de </w:t>
      </w:r>
      <w:r w:rsidRPr="00DE6CF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votre site internet</w:t>
      </w:r>
    </w:p>
    <w:p w:rsidR="00D14B74" w:rsidRPr="00AE0F5D" w:rsidRDefault="00D14B74" w:rsidP="00305005">
      <w:pPr>
        <w:tabs>
          <w:tab w:val="left" w:pos="4678"/>
        </w:tabs>
        <w:spacing w:line="240" w:lineRule="auto"/>
        <w:rPr>
          <w:color w:val="595959" w:themeColor="text1" w:themeTint="A6"/>
          <w:szCs w:val="20"/>
        </w:rPr>
      </w:pPr>
      <w:r w:rsidRPr="00D54335">
        <w:rPr>
          <w:b/>
          <w:color w:val="E25046"/>
          <w:szCs w:val="20"/>
        </w:rPr>
        <w:t xml:space="preserve">Référencement naturel de votre site sur une durée d’un an : </w:t>
      </w:r>
    </w:p>
    <w:p w:rsidR="00771073" w:rsidRPr="00771073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A</w:t>
      </w:r>
      <w:r w:rsidR="00771073">
        <w:rPr>
          <w:rFonts w:ascii="Verdana" w:hAnsi="Verdana"/>
          <w:sz w:val="20"/>
          <w:szCs w:val="20"/>
          <w:lang w:val="fr-FR"/>
        </w:rPr>
        <w:t>udit de votre site internet</w:t>
      </w:r>
    </w:p>
    <w:p w:rsidR="00771073" w:rsidRPr="00771073" w:rsidRDefault="00771073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Audit de 3 de vos concurrents</w:t>
      </w:r>
    </w:p>
    <w:p w:rsidR="00D14B74" w:rsidRPr="002D4FE2" w:rsidRDefault="00771073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A</w:t>
      </w:r>
      <w:r w:rsidR="00D14B74" w:rsidRPr="002D4FE2">
        <w:rPr>
          <w:rFonts w:ascii="Verdana" w:hAnsi="Verdana"/>
          <w:sz w:val="20"/>
          <w:szCs w:val="20"/>
          <w:lang w:val="fr-FR"/>
        </w:rPr>
        <w:t>udit marketing sur le choix des mots-clés (limité à 1 par page)</w:t>
      </w:r>
    </w:p>
    <w:p w:rsidR="00D14B74" w:rsidRPr="00540D37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540D37">
        <w:rPr>
          <w:rFonts w:ascii="Verdana" w:hAnsi="Verdana"/>
          <w:sz w:val="20"/>
          <w:szCs w:val="20"/>
          <w:lang w:val="fr-FR"/>
        </w:rPr>
        <w:t>Préconisations textuelles et techniques</w:t>
      </w:r>
    </w:p>
    <w:p w:rsidR="00D14B74" w:rsidRPr="00656084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Création et o</w:t>
      </w:r>
      <w:r w:rsidRPr="0017264B">
        <w:rPr>
          <w:rFonts w:ascii="Verdana" w:hAnsi="Verdana"/>
          <w:sz w:val="20"/>
          <w:szCs w:val="20"/>
          <w:lang w:val="fr-FR"/>
        </w:rPr>
        <w:t xml:space="preserve">ptimisation manuelle </w:t>
      </w:r>
      <w:r>
        <w:rPr>
          <w:rFonts w:ascii="Verdana" w:hAnsi="Verdana"/>
          <w:sz w:val="20"/>
          <w:szCs w:val="20"/>
          <w:lang w:val="fr-FR"/>
        </w:rPr>
        <w:t>des métadonnées</w:t>
      </w:r>
    </w:p>
    <w:p w:rsidR="00D14B74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hAnsi="Verdana"/>
          <w:sz w:val="20"/>
          <w:szCs w:val="20"/>
          <w:lang w:val="fr-FR"/>
        </w:rPr>
      </w:pPr>
      <w:r w:rsidRPr="00656084">
        <w:rPr>
          <w:rFonts w:ascii="Verdana" w:hAnsi="Verdana"/>
          <w:sz w:val="20"/>
          <w:szCs w:val="20"/>
          <w:lang w:val="fr-FR"/>
        </w:rPr>
        <w:t xml:space="preserve">Optimisation des </w:t>
      </w:r>
      <w:r>
        <w:rPr>
          <w:rFonts w:ascii="Verdana" w:hAnsi="Verdana"/>
          <w:sz w:val="20"/>
          <w:szCs w:val="20"/>
          <w:lang w:val="fr-FR"/>
        </w:rPr>
        <w:t xml:space="preserve">contenus </w:t>
      </w:r>
    </w:p>
    <w:p w:rsidR="00305005" w:rsidRDefault="00305005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Redirection des urls du site présent en ligne vers le nouveau site</w:t>
      </w:r>
    </w:p>
    <w:p w:rsidR="00D14B74" w:rsidRPr="0017264B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Réécriture des urls</w:t>
      </w:r>
    </w:p>
    <w:p w:rsidR="00D14B74" w:rsidRPr="002D4FE2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Inscription du site sur 3</w:t>
      </w:r>
      <w:r w:rsidRPr="002D4FE2">
        <w:rPr>
          <w:rFonts w:ascii="Verdana" w:hAnsi="Verdana"/>
          <w:sz w:val="20"/>
          <w:szCs w:val="20"/>
          <w:lang w:val="fr-FR"/>
        </w:rPr>
        <w:t>0 outils pour l’obtention de liens de qualité</w:t>
      </w:r>
    </w:p>
    <w:p w:rsidR="00D14B74" w:rsidRPr="002049B9" w:rsidRDefault="00D14B74" w:rsidP="00D14B7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Rapport bimestriel (tous les deux mois)</w:t>
      </w:r>
    </w:p>
    <w:p w:rsidR="00D14B74" w:rsidRDefault="00D14B74" w:rsidP="00D14B74">
      <w:pPr>
        <w:tabs>
          <w:tab w:val="right" w:pos="10490"/>
        </w:tabs>
        <w:ind w:left="851"/>
        <w:rPr>
          <w:szCs w:val="20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H.T. </w:t>
      </w:r>
      <w:r w:rsidRPr="00771803">
        <w:rPr>
          <w:rFonts w:eastAsia="Times New Roman" w:cs="Times New Roman"/>
          <w:b/>
          <w:bCs/>
          <w:szCs w:val="20"/>
          <w:lang w:eastAsia="fr-FR"/>
        </w:rPr>
        <w:tab/>
      </w:r>
      <w:r w:rsidR="00771073">
        <w:rPr>
          <w:rFonts w:eastAsia="Times New Roman" w:cs="Times New Roman"/>
          <w:b/>
          <w:bCs/>
          <w:szCs w:val="20"/>
          <w:lang w:eastAsia="fr-FR"/>
        </w:rPr>
        <w:t>2 280</w:t>
      </w:r>
      <w:r>
        <w:rPr>
          <w:rFonts w:eastAsia="Times New Roman" w:cs="Times New Roman"/>
          <w:b/>
          <w:bCs/>
          <w:szCs w:val="20"/>
          <w:lang w:eastAsia="fr-FR"/>
        </w:rPr>
        <w:t>.00 €</w:t>
      </w:r>
      <w:r w:rsidRPr="00771803">
        <w:rPr>
          <w:rFonts w:eastAsia="Times New Roman" w:cs="Times New Roman"/>
          <w:b/>
          <w:bCs/>
          <w:szCs w:val="20"/>
          <w:lang w:eastAsia="fr-FR"/>
        </w:rPr>
        <w:br/>
      </w:r>
      <w:r w:rsidRPr="00656084">
        <w:rPr>
          <w:szCs w:val="20"/>
        </w:rPr>
        <w:t>TVA 20%</w:t>
      </w:r>
      <w:r w:rsidR="00771073">
        <w:rPr>
          <w:szCs w:val="20"/>
        </w:rPr>
        <w:tab/>
        <w:t>456</w:t>
      </w:r>
      <w:r>
        <w:rPr>
          <w:szCs w:val="20"/>
        </w:rPr>
        <w:t>.00 €</w:t>
      </w:r>
    </w:p>
    <w:p w:rsidR="00D14B74" w:rsidRPr="00656084" w:rsidRDefault="00771073" w:rsidP="00D14B74">
      <w:pPr>
        <w:tabs>
          <w:tab w:val="right" w:pos="10490"/>
        </w:tabs>
        <w:ind w:left="851"/>
        <w:rPr>
          <w:szCs w:val="20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T.T.C.</w:t>
      </w:r>
      <w:r>
        <w:rPr>
          <w:rFonts w:eastAsia="Times New Roman" w:cs="Times New Roman"/>
          <w:b/>
          <w:bCs/>
          <w:szCs w:val="20"/>
          <w:lang w:eastAsia="fr-FR"/>
        </w:rPr>
        <w:tab/>
        <w:t>2 736.</w:t>
      </w:r>
      <w:r w:rsidR="00D14B74">
        <w:rPr>
          <w:rFonts w:eastAsia="Times New Roman" w:cs="Times New Roman"/>
          <w:b/>
          <w:bCs/>
          <w:szCs w:val="20"/>
          <w:lang w:eastAsia="fr-FR"/>
        </w:rPr>
        <w:t>00 €</w:t>
      </w:r>
    </w:p>
    <w:p w:rsidR="00D14B74" w:rsidRDefault="00305005" w:rsidP="00305005">
      <w:pPr>
        <w:rPr>
          <w:szCs w:val="20"/>
        </w:rPr>
      </w:pPr>
      <w:r>
        <w:rPr>
          <w:b/>
          <w:color w:val="808080" w:themeColor="background1" w:themeShade="80"/>
          <w:sz w:val="18"/>
          <w:szCs w:val="18"/>
        </w:rPr>
        <w:br/>
      </w:r>
      <w:r>
        <w:rPr>
          <w:b/>
          <w:color w:val="E25046"/>
          <w:szCs w:val="20"/>
        </w:rPr>
        <w:br/>
      </w:r>
      <w:r w:rsidR="00D14B74" w:rsidRPr="00771073">
        <w:rPr>
          <w:b/>
          <w:color w:val="E25046"/>
          <w:szCs w:val="20"/>
        </w:rPr>
        <w:t xml:space="preserve">Conditions de règlement : </w:t>
      </w:r>
      <w:r w:rsidR="00771073" w:rsidRPr="00771073">
        <w:rPr>
          <w:b/>
          <w:color w:val="E25046"/>
          <w:szCs w:val="20"/>
        </w:rPr>
        <w:br/>
      </w:r>
      <w:r w:rsidR="00D14B74" w:rsidRPr="00656084">
        <w:rPr>
          <w:szCs w:val="20"/>
        </w:rPr>
        <w:t xml:space="preserve">Règlement </w:t>
      </w:r>
      <w:r w:rsidR="00D14B74">
        <w:rPr>
          <w:szCs w:val="20"/>
        </w:rPr>
        <w:t xml:space="preserve">mensuel à réception de la facture suivant </w:t>
      </w:r>
      <w:r w:rsidR="00771073">
        <w:rPr>
          <w:szCs w:val="20"/>
        </w:rPr>
        <w:t>l’</w:t>
      </w:r>
      <w:r w:rsidR="00D14B74">
        <w:rPr>
          <w:szCs w:val="20"/>
        </w:rPr>
        <w:t>échéancier ci-dessous</w:t>
      </w: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426"/>
        <w:gridCol w:w="4723"/>
      </w:tblGrid>
      <w:tr w:rsidR="00D14B74" w:rsidTr="003F2A32">
        <w:trPr>
          <w:trHeight w:val="1016"/>
        </w:trPr>
        <w:tc>
          <w:tcPr>
            <w:tcW w:w="4785" w:type="dxa"/>
            <w:vAlign w:val="center"/>
          </w:tcPr>
          <w:tbl>
            <w:tblPr>
              <w:tblStyle w:val="Grilledutableau"/>
              <w:tblW w:w="4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837"/>
              <w:gridCol w:w="1286"/>
              <w:gridCol w:w="1407"/>
            </w:tblGrid>
            <w:tr w:rsidR="00D14B74" w:rsidTr="003F2A32">
              <w:tc>
                <w:tcPr>
                  <w:tcW w:w="1837" w:type="dxa"/>
                </w:tcPr>
                <w:p w:rsidR="00D14B74" w:rsidRPr="00230314" w:rsidRDefault="00D14B74" w:rsidP="00914D2E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Mensualités</w:t>
                  </w:r>
                </w:p>
              </w:tc>
              <w:tc>
                <w:tcPr>
                  <w:tcW w:w="1286" w:type="dxa"/>
                </w:tcPr>
                <w:p w:rsidR="00D14B74" w:rsidRPr="00230314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HT</w:t>
                  </w:r>
                </w:p>
              </w:tc>
              <w:tc>
                <w:tcPr>
                  <w:tcW w:w="1407" w:type="dxa"/>
                </w:tcPr>
                <w:p w:rsidR="00D14B74" w:rsidRPr="00230314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TTC</w:t>
                  </w:r>
                </w:p>
              </w:tc>
            </w:tr>
            <w:tr w:rsidR="00D14B74" w:rsidTr="003F2A32">
              <w:tc>
                <w:tcPr>
                  <w:tcW w:w="1837" w:type="dxa"/>
                </w:tcPr>
                <w:p w:rsidR="00D14B74" w:rsidRPr="00230314" w:rsidRDefault="00D14B74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</w:p>
              </w:tc>
              <w:tc>
                <w:tcPr>
                  <w:tcW w:w="1286" w:type="dxa"/>
                </w:tcPr>
                <w:p w:rsidR="00D14B74" w:rsidRPr="00230314" w:rsidRDefault="00D14B74" w:rsidP="0077107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 w:rsidR="00771073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D14B74" w:rsidRPr="00230314" w:rsidRDefault="00771073" w:rsidP="009E397A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="00D14B74"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837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</w:tbl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3" w:type="dxa"/>
            <w:vAlign w:val="center"/>
          </w:tcPr>
          <w:tbl>
            <w:tblPr>
              <w:tblStyle w:val="Grilledutableau"/>
              <w:tblW w:w="446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775"/>
              <w:gridCol w:w="1286"/>
              <w:gridCol w:w="1407"/>
            </w:tblGrid>
            <w:tr w:rsidR="00D14B74" w:rsidTr="003F2A32">
              <w:tc>
                <w:tcPr>
                  <w:tcW w:w="1775" w:type="dxa"/>
                </w:tcPr>
                <w:p w:rsidR="00D14B74" w:rsidRPr="00ED1D0F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ED1D0F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Mensualités</w:t>
                  </w:r>
                </w:p>
              </w:tc>
              <w:tc>
                <w:tcPr>
                  <w:tcW w:w="1286" w:type="dxa"/>
                </w:tcPr>
                <w:p w:rsidR="00D14B74" w:rsidRPr="004E0E6A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D14B74" w:rsidRPr="004E0E6A" w:rsidRDefault="00D14B74" w:rsidP="003F2A32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7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8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10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  <w:tr w:rsidR="00771073" w:rsidTr="003F2A32">
              <w:tc>
                <w:tcPr>
                  <w:tcW w:w="1775" w:type="dxa"/>
                </w:tcPr>
                <w:p w:rsidR="00771073" w:rsidRPr="00230314" w:rsidRDefault="00771073" w:rsidP="00914D2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771073" w:rsidRPr="00230314" w:rsidRDefault="00771073" w:rsidP="001D6F03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228</w:t>
                  </w: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.00 €</w:t>
                  </w:r>
                </w:p>
              </w:tc>
            </w:tr>
          </w:tbl>
          <w:p w:rsidR="00D14B74" w:rsidRDefault="00D14B74" w:rsidP="003F2A32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B74" w:rsidRDefault="00D14B74" w:rsidP="00D14B74">
      <w:pPr>
        <w:tabs>
          <w:tab w:val="left" w:pos="1134"/>
          <w:tab w:val="right" w:pos="10490"/>
        </w:tabs>
        <w:rPr>
          <w:szCs w:val="20"/>
        </w:rPr>
      </w:pPr>
    </w:p>
    <w:p w:rsidR="00305005" w:rsidRDefault="00305005">
      <w:pPr>
        <w:rPr>
          <w:rFonts w:eastAsia="Times New Roman"/>
          <w:b/>
          <w:bCs/>
          <w:color w:val="E25046"/>
          <w:szCs w:val="20"/>
          <w:lang w:eastAsia="fr-FR"/>
        </w:rPr>
      </w:pPr>
      <w:r>
        <w:rPr>
          <w:rFonts w:eastAsia="Times New Roman"/>
          <w:b/>
          <w:bCs/>
          <w:color w:val="E25046"/>
          <w:szCs w:val="20"/>
          <w:lang w:eastAsia="fr-FR"/>
        </w:rPr>
        <w:br w:type="page"/>
      </w:r>
    </w:p>
    <w:p w:rsidR="00D14B74" w:rsidRPr="004F337E" w:rsidRDefault="00D14B74" w:rsidP="00D14B74">
      <w:pPr>
        <w:spacing w:after="0"/>
        <w:rPr>
          <w:rFonts w:eastAsia="Calibri" w:cs="Times New Roman"/>
          <w:szCs w:val="20"/>
        </w:rPr>
      </w:pPr>
      <w:r w:rsidRPr="00D54335">
        <w:rPr>
          <w:rFonts w:eastAsia="Times New Roman"/>
          <w:b/>
          <w:bCs/>
          <w:color w:val="E25046"/>
          <w:szCs w:val="20"/>
          <w:lang w:eastAsia="fr-FR"/>
        </w:rPr>
        <w:lastRenderedPageBreak/>
        <w:t xml:space="preserve">Pré-requis et informations importantes sur l’exécution du projet : </w:t>
      </w:r>
      <w:r>
        <w:rPr>
          <w:rFonts w:eastAsia="Times New Roman"/>
          <w:b/>
          <w:bCs/>
          <w:color w:val="E25046"/>
          <w:szCs w:val="20"/>
          <w:lang w:eastAsia="fr-FR"/>
        </w:rPr>
        <w:br/>
      </w: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D14B74" w:rsidRPr="00543F3C" w:rsidRDefault="00D14B74" w:rsidP="00D14B7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D14B74" w:rsidRPr="00543F3C" w:rsidRDefault="00D14B74" w:rsidP="00D14B7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D14B74" w:rsidRPr="00543F3C" w:rsidRDefault="00D14B74" w:rsidP="00D14B7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D14B74" w:rsidRDefault="00D14B74" w:rsidP="00305005">
      <w:pPr>
        <w:spacing w:after="0"/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305005" w:rsidRPr="004F337E" w:rsidRDefault="00305005" w:rsidP="00305005">
      <w:pPr>
        <w:spacing w:after="0"/>
        <w:rPr>
          <w:szCs w:val="20"/>
        </w:rPr>
      </w:pPr>
    </w:p>
    <w:p w:rsidR="00C82D02" w:rsidRPr="00DE6CF5" w:rsidRDefault="00C82D02" w:rsidP="009F0BF2">
      <w:pPr>
        <w:rPr>
          <w:b/>
          <w:sz w:val="18"/>
          <w:szCs w:val="18"/>
        </w:rPr>
      </w:pPr>
    </w:p>
    <w:p w:rsidR="00C82D02" w:rsidRPr="00DE6CF5" w:rsidRDefault="00C82D02" w:rsidP="009F0BF2">
      <w:pPr>
        <w:rPr>
          <w:b/>
          <w:sz w:val="18"/>
          <w:szCs w:val="18"/>
        </w:rPr>
        <w:sectPr w:rsidR="00C82D02" w:rsidRPr="00DE6CF5" w:rsidSect="009F0BF2">
          <w:footerReference w:type="default" r:id="rId9"/>
          <w:pgSz w:w="11906" w:h="16838"/>
          <w:pgMar w:top="1276" w:right="566" w:bottom="1276" w:left="567" w:header="708" w:footer="575" w:gutter="0"/>
          <w:cols w:space="708"/>
          <w:docGrid w:linePitch="360"/>
        </w:sectPr>
      </w:pPr>
    </w:p>
    <w:p w:rsidR="00C82D02" w:rsidRPr="00DE6CF5" w:rsidRDefault="00C82D02" w:rsidP="009F0BF2">
      <w:pPr>
        <w:rPr>
          <w:sz w:val="18"/>
          <w:szCs w:val="18"/>
        </w:rPr>
      </w:pPr>
      <w:r w:rsidRPr="00DE6CF5">
        <w:rPr>
          <w:b/>
          <w:sz w:val="18"/>
          <w:szCs w:val="18"/>
        </w:rPr>
        <w:t xml:space="preserve">Signature du Client suivie de la mention </w:t>
      </w:r>
      <w:r w:rsidRPr="00DE6CF5">
        <w:rPr>
          <w:b/>
          <w:sz w:val="18"/>
          <w:szCs w:val="18"/>
        </w:rPr>
        <w:br/>
      </w:r>
      <w:r w:rsidRPr="00DE6CF5">
        <w:rPr>
          <w:sz w:val="18"/>
          <w:szCs w:val="18"/>
        </w:rPr>
        <w:t>“Bon pour accord et exécution”</w:t>
      </w:r>
      <w:r w:rsidRPr="00DE6CF5">
        <w:rPr>
          <w:sz w:val="18"/>
          <w:szCs w:val="18"/>
        </w:rPr>
        <w:br/>
        <w:t>Nom, prénom et qualité du signataire :</w:t>
      </w:r>
      <w:r w:rsidRPr="00DE6CF5">
        <w:rPr>
          <w:sz w:val="18"/>
          <w:szCs w:val="18"/>
        </w:rPr>
        <w:br/>
        <w:t xml:space="preserve"> ………………………………………………………………………………</w:t>
      </w:r>
      <w:r w:rsidRPr="00DE6CF5">
        <w:rPr>
          <w:sz w:val="18"/>
          <w:szCs w:val="18"/>
        </w:rPr>
        <w:br/>
        <w:t>Date : ……………………………………………………………………</w:t>
      </w:r>
    </w:p>
    <w:p w:rsidR="00C82D02" w:rsidRPr="00DE6CF5" w:rsidRDefault="00C82D02" w:rsidP="009F0BF2">
      <w:pPr>
        <w:rPr>
          <w:sz w:val="18"/>
          <w:szCs w:val="18"/>
        </w:rPr>
      </w:pPr>
      <w:r w:rsidRPr="00DE6CF5">
        <w:rPr>
          <w:sz w:val="18"/>
          <w:szCs w:val="18"/>
        </w:rPr>
        <w:t xml:space="preserve">Signature de la </w:t>
      </w:r>
      <w:r w:rsidRPr="00DE6CF5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DE6CF5">
        <w:rPr>
          <w:sz w:val="18"/>
          <w:szCs w:val="18"/>
        </w:rPr>
        <w:br/>
        <w:t>Habiba Aouzal</w:t>
      </w:r>
      <w:r w:rsidRPr="00DE6CF5">
        <w:rPr>
          <w:rFonts w:eastAsia="Calibri" w:cs="Times New Roman"/>
          <w:b/>
          <w:color w:val="F29400"/>
          <w:sz w:val="18"/>
          <w:szCs w:val="18"/>
        </w:rPr>
        <w:br/>
      </w:r>
      <w:r w:rsidRPr="00DE6CF5">
        <w:rPr>
          <w:sz w:val="18"/>
          <w:szCs w:val="18"/>
        </w:rPr>
        <w:t>Date : ……………………………………</w:t>
      </w:r>
    </w:p>
    <w:p w:rsidR="00C82D02" w:rsidRPr="00DE6CF5" w:rsidRDefault="00C82D02" w:rsidP="009F0BF2">
      <w:pPr>
        <w:rPr>
          <w:sz w:val="18"/>
          <w:szCs w:val="18"/>
        </w:rPr>
        <w:sectPr w:rsidR="00C82D02" w:rsidRPr="00DE6CF5" w:rsidSect="008A1C20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 w:rsidRPr="00DE6CF5">
        <w:rPr>
          <w:sz w:val="18"/>
          <w:szCs w:val="18"/>
        </w:rPr>
        <w:br/>
      </w:r>
    </w:p>
    <w:p w:rsidR="00C82D02" w:rsidRPr="00DE6CF5" w:rsidRDefault="00C82D02" w:rsidP="009F0BF2"/>
    <w:p w:rsidR="00D0059A" w:rsidRPr="00DE6CF5" w:rsidRDefault="00D0059A" w:rsidP="009F0BF2"/>
    <w:sectPr w:rsidR="00D0059A" w:rsidRPr="00DE6CF5" w:rsidSect="008A1C20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DB" w:rsidRDefault="00995EDB" w:rsidP="00413546">
      <w:pPr>
        <w:spacing w:after="0" w:line="240" w:lineRule="auto"/>
      </w:pPr>
      <w:r>
        <w:separator/>
      </w:r>
    </w:p>
  </w:endnote>
  <w:endnote w:type="continuationSeparator" w:id="0">
    <w:p w:rsidR="00995EDB" w:rsidRDefault="00995EDB" w:rsidP="0041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9D7523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9D7523" w:rsidRPr="00E50326" w:rsidRDefault="009D7523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5627D6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5627D6" w:rsidRPr="00E50326">
                <w:rPr>
                  <w:szCs w:val="20"/>
                </w:rPr>
                <w:fldChar w:fldCharType="separate"/>
              </w:r>
              <w:r w:rsidR="00995EDB">
                <w:rPr>
                  <w:noProof/>
                  <w:szCs w:val="20"/>
                </w:rPr>
                <w:t>1</w:t>
              </w:r>
              <w:r w:rsidR="005627D6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5627D6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5627D6" w:rsidRPr="00E50326">
                <w:rPr>
                  <w:szCs w:val="20"/>
                </w:rPr>
                <w:fldChar w:fldCharType="separate"/>
              </w:r>
              <w:r w:rsidR="00995EDB">
                <w:rPr>
                  <w:noProof/>
                  <w:szCs w:val="20"/>
                </w:rPr>
                <w:t>1</w:t>
              </w:r>
              <w:r w:rsidR="005627D6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9D7523" w:rsidP="008A1C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DB" w:rsidRDefault="00995EDB" w:rsidP="00413546">
      <w:pPr>
        <w:spacing w:after="0" w:line="240" w:lineRule="auto"/>
      </w:pPr>
      <w:r>
        <w:separator/>
      </w:r>
    </w:p>
  </w:footnote>
  <w:footnote w:type="continuationSeparator" w:id="0">
    <w:p w:rsidR="00995EDB" w:rsidRDefault="00995EDB" w:rsidP="0041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BA6213E"/>
    <w:multiLevelType w:val="hybridMultilevel"/>
    <w:tmpl w:val="4500A3B2"/>
    <w:lvl w:ilvl="0" w:tplc="7068B982">
      <w:start w:val="2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37EBC"/>
    <w:multiLevelType w:val="hybridMultilevel"/>
    <w:tmpl w:val="9F528C0E"/>
    <w:lvl w:ilvl="0" w:tplc="040C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9">
    <w:nsid w:val="54255738"/>
    <w:multiLevelType w:val="hybridMultilevel"/>
    <w:tmpl w:val="63EE2ECC"/>
    <w:lvl w:ilvl="0" w:tplc="957C48EE">
      <w:start w:val="13"/>
      <w:numFmt w:val="bullet"/>
      <w:lvlText w:val="-"/>
      <w:lvlJc w:val="left"/>
      <w:pPr>
        <w:ind w:left="178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2D02"/>
    <w:rsid w:val="00057DF2"/>
    <w:rsid w:val="001E1A87"/>
    <w:rsid w:val="00244DD5"/>
    <w:rsid w:val="00246C21"/>
    <w:rsid w:val="00305005"/>
    <w:rsid w:val="00413546"/>
    <w:rsid w:val="004454E1"/>
    <w:rsid w:val="0045588F"/>
    <w:rsid w:val="00507554"/>
    <w:rsid w:val="00545EAB"/>
    <w:rsid w:val="005627D6"/>
    <w:rsid w:val="005662E2"/>
    <w:rsid w:val="005D23C7"/>
    <w:rsid w:val="006643A0"/>
    <w:rsid w:val="00691665"/>
    <w:rsid w:val="006C44E7"/>
    <w:rsid w:val="006E279C"/>
    <w:rsid w:val="00753807"/>
    <w:rsid w:val="007573B9"/>
    <w:rsid w:val="00771073"/>
    <w:rsid w:val="00771159"/>
    <w:rsid w:val="007A3A05"/>
    <w:rsid w:val="007A4E23"/>
    <w:rsid w:val="007F659C"/>
    <w:rsid w:val="008024A0"/>
    <w:rsid w:val="00872B78"/>
    <w:rsid w:val="008A1C20"/>
    <w:rsid w:val="00914D2E"/>
    <w:rsid w:val="009239BA"/>
    <w:rsid w:val="00954D25"/>
    <w:rsid w:val="00970F2A"/>
    <w:rsid w:val="00995EDB"/>
    <w:rsid w:val="009B7D02"/>
    <w:rsid w:val="009C60F9"/>
    <w:rsid w:val="009C6B05"/>
    <w:rsid w:val="009D6940"/>
    <w:rsid w:val="009D7523"/>
    <w:rsid w:val="009E397A"/>
    <w:rsid w:val="009F0BF2"/>
    <w:rsid w:val="00A53289"/>
    <w:rsid w:val="00A97721"/>
    <w:rsid w:val="00AC7CE9"/>
    <w:rsid w:val="00AE5B19"/>
    <w:rsid w:val="00B76733"/>
    <w:rsid w:val="00C82D02"/>
    <w:rsid w:val="00D0059A"/>
    <w:rsid w:val="00D14B74"/>
    <w:rsid w:val="00D21D9A"/>
    <w:rsid w:val="00D41B42"/>
    <w:rsid w:val="00DE6CF5"/>
    <w:rsid w:val="00E24C27"/>
    <w:rsid w:val="00ED1D0F"/>
    <w:rsid w:val="00FB682B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02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8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D0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D02"/>
    <w:rPr>
      <w:rFonts w:ascii="Verdana" w:hAnsi="Verdana"/>
      <w:sz w:val="20"/>
    </w:rPr>
  </w:style>
  <w:style w:type="paragraph" w:customStyle="1" w:styleId="Default">
    <w:name w:val="Default"/>
    <w:rsid w:val="009F0BF2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6262E-E0D4-4184-AC0A-C832B033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2016-05-04T14:44:00Z</cp:lastPrinted>
  <dcterms:created xsi:type="dcterms:W3CDTF">2016-05-04T14:21:00Z</dcterms:created>
  <dcterms:modified xsi:type="dcterms:W3CDTF">2016-05-04T15:06:00Z</dcterms:modified>
</cp:coreProperties>
</file>