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84" w:rsidRPr="00DE6CF5" w:rsidRDefault="00506984" w:rsidP="0050698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506984" w:rsidRPr="00DE6CF5" w:rsidRDefault="00506984" w:rsidP="00506984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506984" w:rsidRPr="00D41B42" w:rsidRDefault="00506984" w:rsidP="00506984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134422" w:rsidRPr="00134422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506984" w:rsidRDefault="00506984" w:rsidP="00506984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 w:rsidRPr="00C4331C">
        <w:rPr>
          <w:b/>
          <w:szCs w:val="20"/>
        </w:rPr>
        <w:t xml:space="preserve">Société Auris </w:t>
      </w:r>
      <w:r w:rsidRPr="00C4331C">
        <w:rPr>
          <w:b/>
          <w:szCs w:val="20"/>
        </w:rPr>
        <w:br/>
      </w:r>
      <w:r w:rsidRPr="00C4331C">
        <w:rPr>
          <w:szCs w:val="20"/>
        </w:rPr>
        <w:tab/>
        <w:t xml:space="preserve">ZAC des Murons </w:t>
      </w:r>
      <w:r w:rsidRPr="00C4331C">
        <w:rPr>
          <w:szCs w:val="20"/>
        </w:rPr>
        <w:br/>
      </w:r>
      <w:r w:rsidRPr="00C4331C">
        <w:rPr>
          <w:szCs w:val="20"/>
        </w:rPr>
        <w:tab/>
        <w:t>Rue Guillaumet</w:t>
      </w:r>
      <w:r w:rsidRPr="00C4331C">
        <w:rPr>
          <w:szCs w:val="20"/>
        </w:rPr>
        <w:br/>
      </w:r>
      <w:r w:rsidRPr="00C4331C">
        <w:rPr>
          <w:szCs w:val="20"/>
        </w:rPr>
        <w:tab/>
        <w:t>42160 Andrézieux-Bouthéon</w:t>
      </w:r>
    </w:p>
    <w:p w:rsidR="00506984" w:rsidRDefault="00506984" w:rsidP="00506984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 xml:space="preserve">14 novembre </w:t>
      </w:r>
      <w:r w:rsidRPr="005B3537">
        <w:rPr>
          <w:szCs w:val="20"/>
        </w:rPr>
        <w:t>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90</w:t>
      </w:r>
    </w:p>
    <w:p w:rsidR="00506984" w:rsidRPr="005B3537" w:rsidRDefault="00496747" w:rsidP="00506984">
      <w:pPr>
        <w:tabs>
          <w:tab w:val="left" w:pos="5387"/>
        </w:tabs>
        <w:spacing w:before="120" w:after="240"/>
        <w:rPr>
          <w:szCs w:val="20"/>
        </w:rPr>
      </w:pPr>
      <w:hyperlink r:id="rId8" w:history="1">
        <w:r w:rsidRPr="00992537">
          <w:rPr>
            <w:rStyle w:val="Lienhypertexte"/>
            <w:szCs w:val="20"/>
          </w:rPr>
          <w:t>http://formation.ranking-metrics.fr/referencement-naturel</w:t>
        </w:r>
      </w:hyperlink>
      <w:r>
        <w:rPr>
          <w:szCs w:val="20"/>
        </w:rPr>
        <w:t xml:space="preserve"> </w:t>
      </w:r>
    </w:p>
    <w:p w:rsidR="00506984" w:rsidRPr="004646E3" w:rsidRDefault="00506984" w:rsidP="00506984">
      <w:pPr>
        <w:tabs>
          <w:tab w:val="left" w:pos="5387"/>
        </w:tabs>
        <w:spacing w:before="120" w:after="12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Devis formation </w:t>
      </w:r>
    </w:p>
    <w:p w:rsidR="00506984" w:rsidRDefault="00506984" w:rsidP="00506984">
      <w:pPr>
        <w:spacing w:before="240" w:after="120"/>
        <w:rPr>
          <w:color w:val="E25046"/>
          <w:sz w:val="28"/>
          <w:szCs w:val="28"/>
        </w:rPr>
      </w:pPr>
      <w:r>
        <w:rPr>
          <w:color w:val="E25046"/>
          <w:sz w:val="28"/>
          <w:szCs w:val="28"/>
        </w:rPr>
        <w:t xml:space="preserve">Formation référencement naturel : 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6322"/>
        <w:gridCol w:w="1701"/>
        <w:gridCol w:w="1173"/>
        <w:gridCol w:w="1727"/>
      </w:tblGrid>
      <w:tr w:rsidR="00506984" w:rsidTr="00506984">
        <w:tc>
          <w:tcPr>
            <w:tcW w:w="6322" w:type="dxa"/>
          </w:tcPr>
          <w:p w:rsidR="00506984" w:rsidRPr="002D139C" w:rsidRDefault="00506984" w:rsidP="00D65BE6">
            <w:pPr>
              <w:tabs>
                <w:tab w:val="right" w:pos="10632"/>
              </w:tabs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Prestations</w:t>
            </w:r>
            <w:r>
              <w:rPr>
                <w:b/>
                <w:color w:val="E25046"/>
                <w:szCs w:val="20"/>
              </w:rPr>
              <w:t xml:space="preserve"> : </w:t>
            </w:r>
          </w:p>
        </w:tc>
        <w:tc>
          <w:tcPr>
            <w:tcW w:w="1701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  <w:szCs w:val="20"/>
              </w:rPr>
            </w:pPr>
            <w:r>
              <w:rPr>
                <w:b/>
                <w:color w:val="E25046"/>
                <w:szCs w:val="20"/>
              </w:rPr>
              <w:t>Prix unitaire</w:t>
            </w:r>
          </w:p>
        </w:tc>
        <w:tc>
          <w:tcPr>
            <w:tcW w:w="1173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  <w:szCs w:val="20"/>
              </w:rPr>
            </w:pPr>
            <w:r>
              <w:rPr>
                <w:b/>
                <w:color w:val="E25046"/>
                <w:szCs w:val="20"/>
              </w:rPr>
              <w:t>Quantité</w:t>
            </w:r>
          </w:p>
        </w:tc>
        <w:tc>
          <w:tcPr>
            <w:tcW w:w="1727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Montant HT</w:t>
            </w:r>
          </w:p>
        </w:tc>
      </w:tr>
      <w:tr w:rsidR="00506984" w:rsidTr="000042BE">
        <w:trPr>
          <w:trHeight w:val="767"/>
        </w:trPr>
        <w:tc>
          <w:tcPr>
            <w:tcW w:w="6322" w:type="dxa"/>
          </w:tcPr>
          <w:p w:rsidR="00506984" w:rsidRPr="004841DB" w:rsidRDefault="00506984" w:rsidP="00506984">
            <w:pPr>
              <w:tabs>
                <w:tab w:val="left" w:pos="6663"/>
              </w:tabs>
              <w:rPr>
                <w:szCs w:val="20"/>
              </w:rPr>
            </w:pPr>
            <w:r>
              <w:rPr>
                <w:b/>
                <w:szCs w:val="20"/>
              </w:rPr>
              <w:t>Formation d’une journée pour M. Julien Plano</w:t>
            </w:r>
          </w:p>
          <w:p w:rsidR="00506984" w:rsidRPr="000042BE" w:rsidRDefault="000042BE" w:rsidP="000042BE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Le programme de formation est indiqué dans les pages suivantes</w:t>
            </w:r>
          </w:p>
        </w:tc>
        <w:tc>
          <w:tcPr>
            <w:tcW w:w="1701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173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727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60</w:t>
            </w:r>
            <w:r w:rsidRPr="002D139C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</w:t>
            </w:r>
            <w:r w:rsidRPr="002D139C">
              <w:rPr>
                <w:b/>
                <w:szCs w:val="20"/>
              </w:rPr>
              <w:t>00 €</w:t>
            </w:r>
          </w:p>
        </w:tc>
      </w:tr>
      <w:tr w:rsidR="00506984" w:rsidTr="00506984">
        <w:tc>
          <w:tcPr>
            <w:tcW w:w="6322" w:type="dxa"/>
          </w:tcPr>
          <w:p w:rsidR="00506984" w:rsidRDefault="00506984" w:rsidP="00D65BE6">
            <w:pPr>
              <w:tabs>
                <w:tab w:val="left" w:pos="709"/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Forfait sécurisation du site :</w:t>
            </w:r>
          </w:p>
          <w:p w:rsidR="00506984" w:rsidRPr="004841DB" w:rsidRDefault="00506984" w:rsidP="00506984">
            <w:pPr>
              <w:pStyle w:val="Paragraphedeliste"/>
              <w:numPr>
                <w:ilvl w:val="0"/>
                <w:numId w:val="2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841DB">
              <w:rPr>
                <w:rFonts w:ascii="Verdana" w:hAnsi="Verdana"/>
                <w:sz w:val="20"/>
                <w:szCs w:val="20"/>
                <w:lang w:val="fr-FR"/>
              </w:rPr>
              <w:t>Mise en place d’un plugin de sécurité</w:t>
            </w:r>
          </w:p>
          <w:p w:rsidR="00506984" w:rsidRPr="004841DB" w:rsidRDefault="00506984" w:rsidP="00506984">
            <w:pPr>
              <w:pStyle w:val="Paragraphedeliste"/>
              <w:numPr>
                <w:ilvl w:val="0"/>
                <w:numId w:val="2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841DB">
              <w:rPr>
                <w:rFonts w:ascii="Verdana" w:hAnsi="Verdana"/>
                <w:sz w:val="20"/>
                <w:szCs w:val="20"/>
                <w:lang w:val="fr-FR"/>
              </w:rPr>
              <w:t xml:space="preserve">Sécurisation du site </w:t>
            </w:r>
          </w:p>
          <w:p w:rsidR="00506984" w:rsidRPr="00BB534C" w:rsidRDefault="00506984" w:rsidP="00506984">
            <w:pPr>
              <w:pStyle w:val="Paragraphedeliste"/>
              <w:numPr>
                <w:ilvl w:val="0"/>
                <w:numId w:val="2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4841DB">
              <w:rPr>
                <w:rFonts w:ascii="Verdana" w:hAnsi="Verdana"/>
                <w:sz w:val="20"/>
                <w:szCs w:val="20"/>
                <w:lang w:val="fr-FR"/>
              </w:rPr>
              <w:t>Modification des différents accès</w:t>
            </w:r>
          </w:p>
        </w:tc>
        <w:tc>
          <w:tcPr>
            <w:tcW w:w="1701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173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727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350.00 €</w:t>
            </w:r>
          </w:p>
        </w:tc>
      </w:tr>
      <w:tr w:rsidR="00506984" w:rsidTr="00506984">
        <w:tc>
          <w:tcPr>
            <w:tcW w:w="6322" w:type="dxa"/>
          </w:tcPr>
          <w:p w:rsidR="00506984" w:rsidRPr="002D139C" w:rsidRDefault="00506984" w:rsidP="00D65BE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H.T. :</w:t>
            </w:r>
          </w:p>
        </w:tc>
        <w:tc>
          <w:tcPr>
            <w:tcW w:w="1701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173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727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95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506984" w:rsidTr="00506984">
        <w:tc>
          <w:tcPr>
            <w:tcW w:w="6322" w:type="dxa"/>
          </w:tcPr>
          <w:p w:rsidR="00506984" w:rsidRPr="002D139C" w:rsidRDefault="00506984" w:rsidP="00D65BE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TVA 20% :</w:t>
            </w:r>
          </w:p>
        </w:tc>
        <w:tc>
          <w:tcPr>
            <w:tcW w:w="1701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173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727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19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506984" w:rsidTr="00506984">
        <w:tc>
          <w:tcPr>
            <w:tcW w:w="6322" w:type="dxa"/>
          </w:tcPr>
          <w:p w:rsidR="00506984" w:rsidRPr="002D139C" w:rsidRDefault="00506984" w:rsidP="00D65BE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T.T.C. :</w:t>
            </w:r>
          </w:p>
        </w:tc>
        <w:tc>
          <w:tcPr>
            <w:tcW w:w="1701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173" w:type="dxa"/>
          </w:tcPr>
          <w:p w:rsidR="00506984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</w:p>
        </w:tc>
        <w:tc>
          <w:tcPr>
            <w:tcW w:w="1727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1 140.00 €</w:t>
            </w:r>
          </w:p>
        </w:tc>
      </w:tr>
    </w:tbl>
    <w:p w:rsidR="00506984" w:rsidRPr="00602DB6" w:rsidRDefault="00506984" w:rsidP="00506984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/>
      </w: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506984" w:rsidRDefault="00506984" w:rsidP="00506984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>Règlement à réception de la facture</w:t>
      </w:r>
    </w:p>
    <w:p w:rsidR="00506984" w:rsidRDefault="00506984" w:rsidP="00506984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506984" w:rsidRDefault="00506984" w:rsidP="00506984">
      <w:pPr>
        <w:spacing w:before="240" w:after="120"/>
        <w:rPr>
          <w:color w:val="E25046"/>
          <w:sz w:val="28"/>
          <w:szCs w:val="28"/>
        </w:rPr>
      </w:pPr>
      <w:r>
        <w:rPr>
          <w:color w:val="E25046"/>
          <w:sz w:val="28"/>
          <w:szCs w:val="28"/>
        </w:rPr>
        <w:lastRenderedPageBreak/>
        <w:t>Mise à jour du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118"/>
        <w:gridCol w:w="1719"/>
      </w:tblGrid>
      <w:tr w:rsidR="00506984" w:rsidTr="00D65BE6">
        <w:tc>
          <w:tcPr>
            <w:tcW w:w="9118" w:type="dxa"/>
            <w:vAlign w:val="center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Prestations</w:t>
            </w:r>
            <w:r>
              <w:rPr>
                <w:b/>
                <w:color w:val="E25046"/>
                <w:szCs w:val="20"/>
              </w:rPr>
              <w:t> :</w:t>
            </w:r>
          </w:p>
        </w:tc>
        <w:tc>
          <w:tcPr>
            <w:tcW w:w="1719" w:type="dxa"/>
            <w:vAlign w:val="center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  <w:szCs w:val="20"/>
              </w:rPr>
            </w:pPr>
            <w:r w:rsidRPr="002D139C">
              <w:rPr>
                <w:b/>
                <w:color w:val="E25046"/>
                <w:szCs w:val="20"/>
              </w:rPr>
              <w:t>Montant HT</w:t>
            </w:r>
          </w:p>
        </w:tc>
      </w:tr>
      <w:tr w:rsidR="00506984" w:rsidTr="00D65BE6">
        <w:trPr>
          <w:trHeight w:val="1071"/>
        </w:trPr>
        <w:tc>
          <w:tcPr>
            <w:tcW w:w="9118" w:type="dxa"/>
          </w:tcPr>
          <w:p w:rsidR="00506984" w:rsidRPr="004841DB" w:rsidRDefault="00506984" w:rsidP="00D65BE6">
            <w:pPr>
              <w:tabs>
                <w:tab w:val="left" w:pos="666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Forfait mensuel de mise à jour des contenus textuels et visuels du site</w:t>
            </w:r>
          </w:p>
          <w:p w:rsidR="00506984" w:rsidRDefault="00506984" w:rsidP="00D65BE6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Sur une base de 2 heures par mois</w:t>
            </w:r>
          </w:p>
          <w:p w:rsidR="00506984" w:rsidRDefault="00506984" w:rsidP="00D65BE6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Chaque mois, je vous contacterai pour obtenir des informations pour la mise à jour de la partie « actualité »</w:t>
            </w:r>
          </w:p>
          <w:p w:rsidR="00506984" w:rsidRDefault="00506984" w:rsidP="00D65BE6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 xml:space="preserve">Ce forfait servira également à la mise à jour du WordPress et des plugins </w:t>
            </w:r>
          </w:p>
          <w:p w:rsidR="00506984" w:rsidRDefault="00506984" w:rsidP="00D65BE6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</w:p>
          <w:p w:rsidR="00506984" w:rsidRDefault="00506984" w:rsidP="00D65BE6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Au-delà du forfait des 2 heures, l’heure sera facturée 70 €.</w:t>
            </w:r>
            <w:r>
              <w:rPr>
                <w:szCs w:val="20"/>
              </w:rPr>
              <w:br/>
            </w:r>
          </w:p>
          <w:p w:rsidR="00506984" w:rsidRDefault="00506984" w:rsidP="00D65BE6">
            <w:pPr>
              <w:tabs>
                <w:tab w:val="left" w:pos="709"/>
                <w:tab w:val="left" w:pos="6663"/>
              </w:tabs>
              <w:rPr>
                <w:szCs w:val="20"/>
              </w:rPr>
            </w:pPr>
            <w:r>
              <w:rPr>
                <w:szCs w:val="20"/>
              </w:rPr>
              <w:t>En cas de non-consommation du forfait mensuel, il pourra à votre convenance :</w:t>
            </w:r>
          </w:p>
          <w:p w:rsidR="00506984" w:rsidRDefault="00506984" w:rsidP="00506984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BB534C">
              <w:rPr>
                <w:rFonts w:ascii="Verdana" w:hAnsi="Verdana"/>
                <w:sz w:val="20"/>
                <w:szCs w:val="20"/>
                <w:lang w:val="fr-FR"/>
              </w:rPr>
              <w:t>Soit être reporté sur le mois suivant (limité à un report et non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Pr="00BB534C">
              <w:rPr>
                <w:rFonts w:ascii="Verdana" w:hAnsi="Verdana"/>
                <w:sz w:val="20"/>
                <w:szCs w:val="20"/>
                <w:lang w:val="fr-FR"/>
              </w:rPr>
              <w:t>cumulable sur les mois suivants)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.</w:t>
            </w:r>
            <w:r w:rsidRPr="00BB534C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  <w:p w:rsidR="00506984" w:rsidRPr="001B51BF" w:rsidRDefault="00506984" w:rsidP="00506984">
            <w:pPr>
              <w:pStyle w:val="Paragraphedeliste"/>
              <w:numPr>
                <w:ilvl w:val="0"/>
                <w:numId w:val="3"/>
              </w:numPr>
              <w:tabs>
                <w:tab w:val="left" w:pos="709"/>
                <w:tab w:val="left" w:pos="6663"/>
              </w:tabs>
              <w:rPr>
                <w:rFonts w:ascii="Verdana" w:hAnsi="Verdana"/>
                <w:sz w:val="20"/>
                <w:szCs w:val="20"/>
                <w:lang w:val="fr-FR"/>
              </w:rPr>
            </w:pPr>
            <w:r w:rsidRPr="001B51BF">
              <w:rPr>
                <w:rFonts w:ascii="Verdana" w:hAnsi="Verdana"/>
                <w:sz w:val="20"/>
                <w:szCs w:val="20"/>
                <w:lang w:val="fr-FR"/>
              </w:rPr>
              <w:t>Soit ne pas être facturé.</w:t>
            </w:r>
            <w:r w:rsidRPr="001B51BF">
              <w:rPr>
                <w:szCs w:val="20"/>
                <w:lang w:val="fr-FR"/>
              </w:rPr>
              <w:t xml:space="preserve"> </w:t>
            </w:r>
          </w:p>
        </w:tc>
        <w:tc>
          <w:tcPr>
            <w:tcW w:w="1719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12</w:t>
            </w:r>
            <w:r w:rsidRPr="002D139C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</w:t>
            </w:r>
            <w:r w:rsidRPr="002D139C">
              <w:rPr>
                <w:b/>
                <w:szCs w:val="20"/>
              </w:rPr>
              <w:t>00 €</w:t>
            </w:r>
          </w:p>
        </w:tc>
      </w:tr>
      <w:tr w:rsidR="00506984" w:rsidTr="00D65BE6">
        <w:tc>
          <w:tcPr>
            <w:tcW w:w="9118" w:type="dxa"/>
          </w:tcPr>
          <w:p w:rsidR="00506984" w:rsidRDefault="00506984" w:rsidP="00D65BE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H.T. :</w:t>
            </w:r>
          </w:p>
        </w:tc>
        <w:tc>
          <w:tcPr>
            <w:tcW w:w="1719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12</w:t>
            </w:r>
            <w:r w:rsidRPr="002D139C">
              <w:rPr>
                <w:b/>
                <w:szCs w:val="20"/>
              </w:rPr>
              <w:t>0.00 €</w:t>
            </w:r>
          </w:p>
        </w:tc>
      </w:tr>
      <w:tr w:rsidR="00506984" w:rsidTr="00D65BE6">
        <w:tc>
          <w:tcPr>
            <w:tcW w:w="9118" w:type="dxa"/>
          </w:tcPr>
          <w:p w:rsidR="00506984" w:rsidRDefault="00506984" w:rsidP="00D65BE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TVA 20% :</w:t>
            </w:r>
          </w:p>
        </w:tc>
        <w:tc>
          <w:tcPr>
            <w:tcW w:w="1719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24</w:t>
            </w:r>
            <w:r w:rsidRPr="002D139C">
              <w:rPr>
                <w:b/>
                <w:szCs w:val="20"/>
              </w:rPr>
              <w:t>.00 €</w:t>
            </w:r>
          </w:p>
        </w:tc>
      </w:tr>
      <w:tr w:rsidR="00506984" w:rsidTr="00D65BE6">
        <w:tc>
          <w:tcPr>
            <w:tcW w:w="9118" w:type="dxa"/>
          </w:tcPr>
          <w:p w:rsidR="00506984" w:rsidRDefault="00506984" w:rsidP="00D65BE6">
            <w:pPr>
              <w:tabs>
                <w:tab w:val="right" w:pos="10632"/>
              </w:tabs>
              <w:ind w:left="2552"/>
              <w:rPr>
                <w:b/>
                <w:szCs w:val="20"/>
              </w:rPr>
            </w:pPr>
            <w:r w:rsidRPr="002D139C">
              <w:rPr>
                <w:b/>
                <w:szCs w:val="20"/>
              </w:rPr>
              <w:t>Montant T.T.C. :</w:t>
            </w:r>
          </w:p>
        </w:tc>
        <w:tc>
          <w:tcPr>
            <w:tcW w:w="1719" w:type="dxa"/>
          </w:tcPr>
          <w:p w:rsidR="00506984" w:rsidRPr="002D139C" w:rsidRDefault="00506984" w:rsidP="00D65BE6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144.00 €</w:t>
            </w:r>
          </w:p>
        </w:tc>
      </w:tr>
    </w:tbl>
    <w:p w:rsidR="000042BE" w:rsidRDefault="000042BE" w:rsidP="00506984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0042BE" w:rsidRDefault="000042BE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0042BE" w:rsidRPr="000042BE" w:rsidRDefault="000042BE" w:rsidP="000042BE">
      <w:pPr>
        <w:spacing w:after="360"/>
        <w:rPr>
          <w:color w:val="E25046"/>
          <w:sz w:val="28"/>
          <w:szCs w:val="28"/>
        </w:rPr>
      </w:pPr>
      <w:r w:rsidRPr="000042BE">
        <w:rPr>
          <w:color w:val="E25046"/>
          <w:sz w:val="28"/>
          <w:szCs w:val="28"/>
        </w:rPr>
        <w:t>Programme référencement naturel :</w:t>
      </w:r>
    </w:p>
    <w:p w:rsidR="000042BE" w:rsidRPr="000042BE" w:rsidRDefault="000042BE" w:rsidP="000042BE">
      <w:pPr>
        <w:tabs>
          <w:tab w:val="left" w:pos="567"/>
          <w:tab w:val="left" w:pos="9214"/>
        </w:tabs>
        <w:spacing w:before="120" w:after="24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0042BE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1. Comment élaborer une s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tratégie de mots-clés efficace</w:t>
      </w:r>
    </w:p>
    <w:p w:rsidR="000042BE" w:rsidRPr="000042BE" w:rsidRDefault="000042BE" w:rsidP="000042BE">
      <w:pPr>
        <w:tabs>
          <w:tab w:val="left" w:pos="567"/>
          <w:tab w:val="left" w:pos="9214"/>
        </w:tabs>
        <w:spacing w:after="120"/>
        <w:rPr>
          <w:rFonts w:eastAsia="Times New Roman"/>
          <w:bCs/>
          <w:color w:val="2C3E50"/>
          <w:szCs w:val="20"/>
          <w:lang w:eastAsia="fr-FR"/>
        </w:rPr>
      </w:pPr>
      <w:r w:rsidRPr="000042BE">
        <w:rPr>
          <w:rFonts w:eastAsia="Times New Roman"/>
          <w:bCs/>
          <w:color w:val="2C3E50"/>
          <w:szCs w:val="20"/>
          <w:lang w:eastAsia="fr-FR"/>
        </w:rPr>
        <w:t>Long Tail (longue traine) : explications et conseils d'optimisation très détaillés, incluant des retours d'expérience réels.</w:t>
      </w:r>
    </w:p>
    <w:p w:rsidR="000042BE" w:rsidRPr="000042BE" w:rsidRDefault="000042BE" w:rsidP="000042BE">
      <w:pPr>
        <w:tabs>
          <w:tab w:val="left" w:pos="567"/>
          <w:tab w:val="left" w:pos="9214"/>
        </w:tabs>
        <w:spacing w:after="120"/>
        <w:rPr>
          <w:rFonts w:eastAsia="Times New Roman"/>
          <w:bCs/>
          <w:color w:val="2C3E50"/>
          <w:szCs w:val="20"/>
          <w:lang w:eastAsia="fr-FR"/>
        </w:rPr>
      </w:pPr>
      <w:r w:rsidRPr="000042BE">
        <w:rPr>
          <w:rFonts w:eastAsia="Times New Roman"/>
          <w:bCs/>
          <w:color w:val="2C3E50"/>
          <w:szCs w:val="20"/>
          <w:lang w:eastAsia="fr-FR"/>
        </w:rPr>
        <w:t>Comprendre le comportement des internautes qui effectuent des recherches sur Google.</w:t>
      </w:r>
    </w:p>
    <w:p w:rsidR="000042BE" w:rsidRPr="000042BE" w:rsidRDefault="000042BE" w:rsidP="000042BE">
      <w:pPr>
        <w:tabs>
          <w:tab w:val="left" w:pos="567"/>
          <w:tab w:val="left" w:pos="9214"/>
        </w:tabs>
        <w:spacing w:after="120"/>
        <w:rPr>
          <w:rFonts w:eastAsia="Times New Roman"/>
          <w:bCs/>
          <w:color w:val="2C3E50"/>
          <w:szCs w:val="20"/>
          <w:lang w:eastAsia="fr-FR"/>
        </w:rPr>
      </w:pPr>
      <w:r w:rsidRPr="000042BE">
        <w:rPr>
          <w:rFonts w:eastAsia="Times New Roman"/>
          <w:bCs/>
          <w:color w:val="2C3E50"/>
          <w:szCs w:val="20"/>
          <w:lang w:eastAsia="fr-FR"/>
        </w:rPr>
        <w:t>Les meilleures méthodes de choix des mots-clés stratégiques (outils, réflexions, astuces pour déterminer le champ lexical le plus pertinent et le plus performant d'un site).</w:t>
      </w:r>
    </w:p>
    <w:p w:rsidR="000042BE" w:rsidRDefault="000042BE" w:rsidP="000042BE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506984" w:rsidRPr="00602DB6" w:rsidRDefault="00506984" w:rsidP="000042BE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/>
      </w: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506984" w:rsidRDefault="00506984" w:rsidP="00506984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>Règlement à réception de la facture</w:t>
      </w:r>
    </w:p>
    <w:p w:rsidR="00506984" w:rsidRDefault="00506984" w:rsidP="00506984">
      <w:pPr>
        <w:tabs>
          <w:tab w:val="left" w:pos="2410"/>
        </w:tabs>
        <w:spacing w:after="120"/>
        <w:ind w:right="-142"/>
        <w:rPr>
          <w:szCs w:val="20"/>
        </w:rPr>
      </w:pPr>
    </w:p>
    <w:p w:rsidR="00506984" w:rsidRDefault="00506984" w:rsidP="00506984">
      <w:pPr>
        <w:tabs>
          <w:tab w:val="left" w:pos="2410"/>
        </w:tabs>
        <w:spacing w:after="120"/>
        <w:ind w:right="-142"/>
        <w:rPr>
          <w:szCs w:val="20"/>
        </w:rPr>
      </w:pPr>
    </w:p>
    <w:p w:rsidR="00506984" w:rsidRPr="00633FAB" w:rsidRDefault="00506984" w:rsidP="00506984">
      <w:pPr>
        <w:tabs>
          <w:tab w:val="left" w:pos="567"/>
          <w:tab w:val="left" w:pos="9214"/>
        </w:tabs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Devis accepté pour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456"/>
        <w:gridCol w:w="5457"/>
      </w:tblGrid>
      <w:tr w:rsidR="00506984" w:rsidTr="00D65BE6">
        <w:tc>
          <w:tcPr>
            <w:tcW w:w="5456" w:type="dxa"/>
          </w:tcPr>
          <w:p w:rsidR="00506984" w:rsidRPr="00634531" w:rsidRDefault="00134422" w:rsidP="00D65BE6">
            <w:pPr>
              <w:tabs>
                <w:tab w:val="left" w:pos="1134"/>
              </w:tabs>
              <w:spacing w:after="120"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026" style="position:absolute;margin-left:36.9pt;margin-top:.1pt;width:10.5pt;height:9pt;z-index:251661312"/>
              </w:pict>
            </w:r>
            <w:r w:rsidR="00506984">
              <w:rPr>
                <w:noProof/>
                <w:lang w:eastAsia="fr-FR"/>
              </w:rPr>
              <w:tab/>
              <w:t>Nettoyage du site</w:t>
            </w:r>
          </w:p>
          <w:p w:rsidR="00506984" w:rsidRDefault="00134422" w:rsidP="00D65BE6">
            <w:pPr>
              <w:tabs>
                <w:tab w:val="left" w:pos="1134"/>
              </w:tabs>
              <w:spacing w:after="120" w:line="276" w:lineRule="auto"/>
              <w:rPr>
                <w:b/>
                <w:szCs w:val="20"/>
              </w:rPr>
            </w:pPr>
            <w:r w:rsidRPr="00134422">
              <w:rPr>
                <w:noProof/>
                <w:lang w:eastAsia="fr-FR"/>
              </w:rPr>
              <w:pict>
                <v:rect id="_x0000_s1027" style="position:absolute;margin-left:36.9pt;margin-top:-.05pt;width:10.5pt;height:9pt;z-index:251662336"/>
              </w:pict>
            </w:r>
            <w:r w:rsidR="00506984">
              <w:rPr>
                <w:noProof/>
                <w:lang w:eastAsia="fr-FR"/>
              </w:rPr>
              <w:tab/>
              <w:t>Mise à jour du site</w:t>
            </w:r>
          </w:p>
        </w:tc>
        <w:tc>
          <w:tcPr>
            <w:tcW w:w="5457" w:type="dxa"/>
          </w:tcPr>
          <w:p w:rsidR="00506984" w:rsidRPr="00633FAB" w:rsidRDefault="00506984" w:rsidP="00D65BE6">
            <w:pPr>
              <w:tabs>
                <w:tab w:val="left" w:pos="923"/>
              </w:tabs>
              <w:spacing w:after="120"/>
              <w:rPr>
                <w:noProof/>
                <w:lang w:eastAsia="fr-FR"/>
              </w:rPr>
            </w:pPr>
          </w:p>
          <w:p w:rsidR="00506984" w:rsidRPr="00633FAB" w:rsidRDefault="00506984" w:rsidP="00D65BE6">
            <w:pPr>
              <w:tabs>
                <w:tab w:val="left" w:pos="923"/>
              </w:tabs>
              <w:spacing w:after="120" w:line="276" w:lineRule="auto"/>
              <w:rPr>
                <w:noProof/>
                <w:lang w:eastAsia="fr-FR"/>
              </w:rPr>
            </w:pPr>
          </w:p>
        </w:tc>
      </w:tr>
    </w:tbl>
    <w:p w:rsidR="00506984" w:rsidRPr="00103FC4" w:rsidRDefault="00506984" w:rsidP="00506984">
      <w:pPr>
        <w:tabs>
          <w:tab w:val="left" w:pos="2410"/>
        </w:tabs>
        <w:spacing w:after="120"/>
        <w:ind w:right="-142"/>
        <w:rPr>
          <w:szCs w:val="20"/>
        </w:rPr>
      </w:pPr>
    </w:p>
    <w:p w:rsidR="00506984" w:rsidRPr="00746E1F" w:rsidRDefault="00506984" w:rsidP="00506984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456"/>
        <w:gridCol w:w="5457"/>
      </w:tblGrid>
      <w:tr w:rsidR="00506984" w:rsidTr="00D65BE6">
        <w:tc>
          <w:tcPr>
            <w:tcW w:w="5456" w:type="dxa"/>
          </w:tcPr>
          <w:p w:rsidR="00506984" w:rsidRPr="00633FAB" w:rsidRDefault="00506984" w:rsidP="00D65BE6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506984" w:rsidRPr="00633FAB" w:rsidRDefault="00506984" w:rsidP="00D65BE6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506984" w:rsidRPr="00633FAB" w:rsidRDefault="00506984" w:rsidP="00D65BE6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633FAB">
              <w:rPr>
                <w:szCs w:val="20"/>
              </w:rPr>
              <w:br/>
              <w:t>Habiba Aouzal</w:t>
            </w:r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506984" w:rsidRPr="00633FAB" w:rsidRDefault="00506984" w:rsidP="00D65BE6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506984" w:rsidRPr="00103FC4" w:rsidRDefault="00506984" w:rsidP="00506984">
      <w:pPr>
        <w:rPr>
          <w:b/>
          <w:szCs w:val="20"/>
        </w:rPr>
      </w:pPr>
    </w:p>
    <w:p w:rsidR="00506984" w:rsidRDefault="00506984" w:rsidP="00506984"/>
    <w:p w:rsidR="00506984" w:rsidRDefault="00506984" w:rsidP="00506984">
      <w:r>
        <w:br/>
      </w:r>
    </w:p>
    <w:p w:rsidR="00D0059A" w:rsidRDefault="00D0059A"/>
    <w:sectPr w:rsidR="00D0059A" w:rsidSect="002D0916">
      <w:footerReference w:type="default" r:id="rId9"/>
      <w:pgSz w:w="11906" w:h="16838"/>
      <w:pgMar w:top="1417" w:right="566" w:bottom="993" w:left="567" w:header="708" w:footer="4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44" w:rsidRDefault="00A07244" w:rsidP="00134422">
      <w:pPr>
        <w:spacing w:after="0" w:line="240" w:lineRule="auto"/>
      </w:pPr>
      <w:r>
        <w:separator/>
      </w:r>
    </w:p>
  </w:endnote>
  <w:endnote w:type="continuationSeparator" w:id="0">
    <w:p w:rsidR="00A07244" w:rsidRDefault="00A07244" w:rsidP="0013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0042BE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2D0916" w:rsidRPr="00E50326" w:rsidRDefault="000042BE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134422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134422" w:rsidRPr="00E50326">
                <w:rPr>
                  <w:szCs w:val="20"/>
                </w:rPr>
                <w:fldChar w:fldCharType="separate"/>
              </w:r>
              <w:r w:rsidR="00A07244">
                <w:rPr>
                  <w:noProof/>
                  <w:szCs w:val="20"/>
                </w:rPr>
                <w:t>1</w:t>
              </w:r>
              <w:r w:rsidR="00134422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134422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134422" w:rsidRPr="00E50326">
                <w:rPr>
                  <w:szCs w:val="20"/>
                </w:rPr>
                <w:fldChar w:fldCharType="separate"/>
              </w:r>
              <w:r w:rsidR="00A07244">
                <w:rPr>
                  <w:noProof/>
                  <w:szCs w:val="20"/>
                </w:rPr>
                <w:t>1</w:t>
              </w:r>
              <w:r w:rsidR="00134422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A07244" w:rsidP="002D09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44" w:rsidRDefault="00A07244" w:rsidP="00134422">
      <w:pPr>
        <w:spacing w:after="0" w:line="240" w:lineRule="auto"/>
      </w:pPr>
      <w:r>
        <w:separator/>
      </w:r>
    </w:p>
  </w:footnote>
  <w:footnote w:type="continuationSeparator" w:id="0">
    <w:p w:rsidR="00A07244" w:rsidRDefault="00A07244" w:rsidP="0013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6984"/>
    <w:rsid w:val="000042BE"/>
    <w:rsid w:val="00134422"/>
    <w:rsid w:val="0016553B"/>
    <w:rsid w:val="003C5AE6"/>
    <w:rsid w:val="00496747"/>
    <w:rsid w:val="00506984"/>
    <w:rsid w:val="00613F72"/>
    <w:rsid w:val="00752622"/>
    <w:rsid w:val="00954D25"/>
    <w:rsid w:val="00A07244"/>
    <w:rsid w:val="00B56C68"/>
    <w:rsid w:val="00BE082D"/>
    <w:rsid w:val="00CB4EF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84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506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984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06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984"/>
    <w:rPr>
      <w:szCs w:val="22"/>
    </w:rPr>
  </w:style>
  <w:style w:type="table" w:styleId="Grilledutableau">
    <w:name w:val="Table Grid"/>
    <w:basedOn w:val="TableauNormal"/>
    <w:uiPriority w:val="59"/>
    <w:rsid w:val="00506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96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tion.ranking-metrics.fr/referencement-natur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2016-11-25T09:37:00Z</dcterms:created>
  <dcterms:modified xsi:type="dcterms:W3CDTF">2016-11-25T10:17:00Z</dcterms:modified>
</cp:coreProperties>
</file>